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52FE" w14:textId="3E27C7BE" w:rsidR="00C74FCD" w:rsidRDefault="00C74FCD" w:rsidP="00C74FCD">
      <w:pPr>
        <w:spacing w:before="100" w:beforeAutospacing="1" w:after="100" w:afterAutospacing="1" w:line="240" w:lineRule="auto"/>
        <w:outlineLvl w:val="2"/>
        <w:rPr>
          <w:rFonts w:ascii="Times New Roman" w:eastAsia="Times New Roman" w:hAnsi="Times New Roman" w:cs="Times New Roman"/>
          <w:b/>
          <w:bCs/>
          <w:sz w:val="27"/>
          <w:szCs w:val="27"/>
          <w:lang w:bidi="te-IN"/>
        </w:rPr>
      </w:pPr>
      <w:r w:rsidRPr="00B66CBA">
        <w:rPr>
          <w:rFonts w:ascii="Times New Roman" w:eastAsia="Times New Roman" w:hAnsi="Times New Roman" w:cs="Times New Roman"/>
          <w:b/>
          <w:bCs/>
          <w:sz w:val="27"/>
          <w:szCs w:val="27"/>
          <w:lang w:bidi="te-IN"/>
        </w:rPr>
        <w:t>Paradoxical Reality of Intersex Lives</w:t>
      </w:r>
    </w:p>
    <w:p w14:paraId="1726AC54" w14:textId="5B5DC1D5" w:rsidR="00C74FCD" w:rsidRPr="00C74FCD" w:rsidRDefault="00C74FCD" w:rsidP="00C74FCD">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lang w:bidi="te-IN"/>
        </w:rPr>
      </w:pPr>
      <w:r w:rsidRPr="00C74FCD">
        <w:rPr>
          <w:rFonts w:ascii="Times New Roman" w:eastAsia="Times New Roman" w:hAnsi="Times New Roman" w:cs="Times New Roman"/>
          <w:b/>
          <w:bCs/>
          <w:sz w:val="27"/>
          <w:szCs w:val="27"/>
          <w:lang w:bidi="te-IN"/>
        </w:rPr>
        <w:t>Ram Kamal</w:t>
      </w:r>
    </w:p>
    <w:p w14:paraId="4853AB77" w14:textId="552672F5" w:rsidR="00C74FCD" w:rsidRDefault="00C74FCD" w:rsidP="00C74FCD">
      <w:pPr>
        <w:pStyle w:val="NormalWeb"/>
        <w:spacing w:after="0" w:afterAutospacing="0"/>
        <w:rPr>
          <w:color w:val="1F1F1F"/>
        </w:rPr>
      </w:pPr>
      <w:r>
        <w:rPr>
          <w:color w:val="1F1F1F"/>
        </w:rPr>
        <w:t xml:space="preserve">The sleek, crystalline silhouette of the APCRDA headquarters in </w:t>
      </w:r>
      <w:proofErr w:type="spellStart"/>
      <w:r>
        <w:rPr>
          <w:color w:val="1F1F1F"/>
        </w:rPr>
        <w:t>Rayapudi</w:t>
      </w:r>
      <w:proofErr w:type="spellEnd"/>
      <w:r>
        <w:rPr>
          <w:color w:val="1F1F1F"/>
        </w:rPr>
        <w:t xml:space="preserve"> stands as a testament to the future of Amaravati—a rising "green capital" built on the promise of modernity. But last week, while visiting the Director and Commissioner of Municipal Administration, it wasn’t the impressive architecture or the panoramic views of the new Andhra Pradesh that caught my breath. It was a simple, strategically placed sign between the traditional men’s and women’s restrooms: </w:t>
      </w:r>
      <w:r>
        <w:rPr>
          <w:b/>
          <w:bCs/>
          <w:color w:val="1F1F1F"/>
          <w:bdr w:val="none" w:sz="0" w:space="0" w:color="auto" w:frame="1"/>
        </w:rPr>
        <w:t>"Transgender."</w:t>
      </w:r>
    </w:p>
    <w:p w14:paraId="4CE5CD78" w14:textId="77777777" w:rsidR="00C74FCD" w:rsidRDefault="00C74FCD" w:rsidP="00C74FCD">
      <w:pPr>
        <w:pStyle w:val="NormalWeb"/>
        <w:spacing w:after="150" w:afterAutospacing="0"/>
        <w:rPr>
          <w:color w:val="1F1F1F"/>
        </w:rPr>
      </w:pPr>
      <w:r>
        <w:rPr>
          <w:color w:val="1F1F1F"/>
        </w:rPr>
        <w:t>In that minute detail, I saw something rare, even in the bustling metropolises of Europe or the United States. It was a quiet, dignified endorsement of human identity, etched into the very blueprint of our state’s futuristic vision. To many, it was just a doorway; to me, it was a bridge back to a memory from a train journey that had long haunted my conscience.</w:t>
      </w:r>
    </w:p>
    <w:p w14:paraId="27085B3F" w14:textId="77777777" w:rsidR="00C74FCD" w:rsidRDefault="00C74FCD" w:rsidP="00C74FCD">
      <w:pPr>
        <w:pStyle w:val="NormalWeb"/>
        <w:spacing w:after="150" w:afterAutospacing="0"/>
        <w:rPr>
          <w:color w:val="1F1F1F"/>
        </w:rPr>
      </w:pPr>
      <w:r>
        <w:rPr>
          <w:color w:val="1F1F1F"/>
        </w:rPr>
        <w:t>Some time ago, while traveling in a 3rd AC coach from Anantapur to Vijayawada, I found myself in a vibrant, unexpected microcosm of society. As a senior citizen, I occupied my usual side-lower berth, but I was surrounded. To my left and right were nearly forty members of the transgender community, their sarees and churidars a sea of color against the sterile train interior. For a moment, I felt like an alien in their world, observing the delicate "masks" of femininity they wore to navigate a world that often refuses to see them.</w:t>
      </w:r>
    </w:p>
    <w:p w14:paraId="06A153E3" w14:textId="77777777" w:rsidR="00C74FCD" w:rsidRDefault="00C74FCD" w:rsidP="00C74FCD">
      <w:pPr>
        <w:pStyle w:val="NormalWeb"/>
        <w:spacing w:after="150" w:afterAutospacing="0"/>
        <w:rPr>
          <w:color w:val="1F1F1F"/>
        </w:rPr>
      </w:pPr>
      <w:r>
        <w:rPr>
          <w:color w:val="1F1F1F"/>
        </w:rPr>
        <w:t>Their leader, a middle-aged woman with a regal, commanding presence, sat directly across from me. She carried herself like a queen among her subjects as they made their way toward a pilgrimage at the Kanaka Durga Temple. Curious and moved by their grace, I struck up a conversation with one of the younger members of the group.</w:t>
      </w:r>
    </w:p>
    <w:p w14:paraId="761BD054" w14:textId="77777777" w:rsidR="00C74FCD" w:rsidRDefault="00C74FCD" w:rsidP="00C74FCD">
      <w:pPr>
        <w:pStyle w:val="NormalWeb"/>
        <w:spacing w:after="150" w:afterAutospacing="0"/>
        <w:rPr>
          <w:color w:val="1F1F1F"/>
        </w:rPr>
      </w:pPr>
      <w:r>
        <w:rPr>
          <w:color w:val="1F1F1F"/>
        </w:rPr>
        <w:t>I asked her about her life before the pilgrimage, specifically about her education. Her answer was a sharp reminder of how easily we let talent slip through the cracks of our systems. She had loved school, she told me, but the journey ended abruptly in the fifth grade. As she entered adolescence, the simple, biological necessity of using a restroom became a gauntlet of discomfort and exclusion. Unable to find a safe space in the girls' toilet, and unwelcome in the boys', s-he simply stopped going.</w:t>
      </w:r>
    </w:p>
    <w:p w14:paraId="24140E71" w14:textId="77777777" w:rsidR="00C74FCD" w:rsidRDefault="00C74FCD" w:rsidP="00C74FCD">
      <w:pPr>
        <w:pStyle w:val="NormalWeb"/>
        <w:spacing w:after="150" w:afterAutospacing="0"/>
        <w:rPr>
          <w:color w:val="1F1F1F"/>
        </w:rPr>
      </w:pPr>
      <w:r>
        <w:rPr>
          <w:color w:val="1F1F1F"/>
        </w:rPr>
        <w:t>That young girl’s stolen future stands in stark contrast to the new "third toilet" at the APCRDA headquarters. Seeing that sign in Amaravati wasn’t just about infrastructure; it was a call to action. If we are to build a truly "futuristic" society, we must start by ensuring that the "Inclusive Education" we speak of in policy papers translates into an ecosystem where every child—regardless of where they fall on the spectrum of gender—can walk into a school, use a restroom with dignity, and earn their place in the world.</w:t>
      </w:r>
    </w:p>
    <w:p w14:paraId="7CB4D8FF" w14:textId="2916A453" w:rsidR="00C74FCD" w:rsidRDefault="00C74FCD" w:rsidP="00C74FCD">
      <w:pPr>
        <w:spacing w:before="100" w:beforeAutospacing="1" w:after="100" w:afterAutospacing="1" w:line="240" w:lineRule="auto"/>
        <w:rPr>
          <w:rFonts w:ascii="Times New Roman" w:eastAsia="Times New Roman" w:hAnsi="Times New Roman" w:cs="Times New Roman"/>
          <w:sz w:val="24"/>
          <w:szCs w:val="24"/>
          <w:lang w:bidi="te-IN"/>
        </w:rPr>
      </w:pPr>
      <w:r>
        <w:rPr>
          <w:color w:val="1F1F1F"/>
        </w:rPr>
        <w:t xml:space="preserve">The story of the third sign is, ultimately, the story of justice. It is time we write the rest of the chapters. </w:t>
      </w:r>
      <w:r w:rsidRPr="00B66CBA">
        <w:rPr>
          <w:rFonts w:ascii="Times New Roman" w:eastAsia="Times New Roman" w:hAnsi="Times New Roman" w:cs="Times New Roman"/>
          <w:sz w:val="24"/>
          <w:szCs w:val="24"/>
          <w:lang w:bidi="te-IN"/>
        </w:rPr>
        <w:t xml:space="preserve">The birth of a child is typically greeted with the binary question: "Is it a boy or a girl?" However, for approximately one in every 2,000 children, the answer is not so simple. These individuals are born with intersex traits—a term encompassing over 30 different conditions where a person's </w:t>
      </w:r>
      <w:r w:rsidRPr="00B66CBA">
        <w:rPr>
          <w:rFonts w:ascii="Times New Roman" w:eastAsia="Times New Roman" w:hAnsi="Times New Roman" w:cs="Times New Roman"/>
          <w:sz w:val="24"/>
          <w:szCs w:val="24"/>
          <w:lang w:bidi="te-IN"/>
        </w:rPr>
        <w:lastRenderedPageBreak/>
        <w:t>anatomy, reproductive organs, or genetics do not fit standard medical definitions of male or female. Despite being a relatively common phenomenon affecting millions globally, the intersex community has historically faced a world of secrecy, surgical intervention, and social erasure.</w:t>
      </w:r>
    </w:p>
    <w:p w14:paraId="7F1D6296" w14:textId="77777777" w:rsidR="00C74FCD" w:rsidRPr="00B66CBA" w:rsidRDefault="00C74FCD" w:rsidP="00C74FCD">
      <w:pPr>
        <w:spacing w:before="100" w:beforeAutospacing="1" w:after="100" w:afterAutospacing="1" w:line="240" w:lineRule="auto"/>
        <w:outlineLvl w:val="3"/>
        <w:rPr>
          <w:rFonts w:ascii="Times New Roman" w:eastAsia="Times New Roman" w:hAnsi="Times New Roman" w:cs="Times New Roman"/>
          <w:b/>
          <w:bCs/>
          <w:sz w:val="24"/>
          <w:szCs w:val="24"/>
          <w:lang w:bidi="te-IN"/>
        </w:rPr>
      </w:pPr>
      <w:r w:rsidRPr="00C74FCD">
        <w:rPr>
          <w:rFonts w:ascii="Times New Roman" w:eastAsia="Times New Roman" w:hAnsi="Times New Roman" w:cs="Times New Roman"/>
          <w:b/>
          <w:bCs/>
          <w:sz w:val="24"/>
          <w:szCs w:val="24"/>
          <w:lang w:bidi="te-IN"/>
        </w:rPr>
        <w:t>‘N</w:t>
      </w:r>
      <w:r w:rsidRPr="00B66CBA">
        <w:rPr>
          <w:rFonts w:ascii="Times New Roman" w:eastAsia="Times New Roman" w:hAnsi="Times New Roman" w:cs="Times New Roman"/>
          <w:b/>
          <w:bCs/>
          <w:sz w:val="24"/>
          <w:szCs w:val="24"/>
          <w:lang w:bidi="te-IN"/>
        </w:rPr>
        <w:t xml:space="preserve">urture over </w:t>
      </w:r>
      <w:r w:rsidRPr="00C74FCD">
        <w:rPr>
          <w:rFonts w:ascii="Times New Roman" w:eastAsia="Times New Roman" w:hAnsi="Times New Roman" w:cs="Times New Roman"/>
          <w:b/>
          <w:bCs/>
          <w:sz w:val="24"/>
          <w:szCs w:val="24"/>
          <w:lang w:bidi="te-IN"/>
        </w:rPr>
        <w:t>N</w:t>
      </w:r>
      <w:r w:rsidRPr="00B66CBA">
        <w:rPr>
          <w:rFonts w:ascii="Times New Roman" w:eastAsia="Times New Roman" w:hAnsi="Times New Roman" w:cs="Times New Roman"/>
          <w:b/>
          <w:bCs/>
          <w:sz w:val="24"/>
          <w:szCs w:val="24"/>
          <w:lang w:bidi="te-IN"/>
        </w:rPr>
        <w:t>ature</w:t>
      </w:r>
      <w:r w:rsidRPr="00C74FCD">
        <w:rPr>
          <w:rFonts w:ascii="Times New Roman" w:eastAsia="Times New Roman" w:hAnsi="Times New Roman" w:cs="Times New Roman"/>
          <w:b/>
          <w:bCs/>
          <w:sz w:val="24"/>
          <w:szCs w:val="24"/>
          <w:lang w:bidi="te-IN"/>
        </w:rPr>
        <w:t xml:space="preserve">’, the </w:t>
      </w:r>
      <w:r w:rsidRPr="00B66CBA">
        <w:rPr>
          <w:rFonts w:ascii="Times New Roman" w:eastAsia="Times New Roman" w:hAnsi="Times New Roman" w:cs="Times New Roman"/>
          <w:b/>
          <w:bCs/>
          <w:sz w:val="24"/>
          <w:szCs w:val="24"/>
          <w:lang w:bidi="te-IN"/>
        </w:rPr>
        <w:t>Medical Legacy of Secrecy</w:t>
      </w:r>
    </w:p>
    <w:p w14:paraId="16D9514E" w14:textId="71FC7643" w:rsidR="004F0D37" w:rsidRDefault="00C74FCD" w:rsidP="00C74FCD">
      <w:pPr>
        <w:spacing w:before="100" w:beforeAutospacing="1" w:after="100" w:afterAutospacing="1" w:line="240" w:lineRule="auto"/>
        <w:rPr>
          <w:rFonts w:ascii="Times New Roman" w:eastAsia="Times New Roman" w:hAnsi="Times New Roman" w:cs="Times New Roman"/>
          <w:sz w:val="24"/>
          <w:szCs w:val="24"/>
          <w:lang w:bidi="te-IN"/>
        </w:rPr>
      </w:pPr>
      <w:r w:rsidRPr="00B66CBA">
        <w:rPr>
          <w:rFonts w:ascii="Times New Roman" w:eastAsia="Times New Roman" w:hAnsi="Times New Roman" w:cs="Times New Roman"/>
          <w:sz w:val="24"/>
          <w:szCs w:val="24"/>
          <w:lang w:bidi="te-IN"/>
        </w:rPr>
        <w:t>For decades, the global treatment of intersex children was dictated by a "nurture over nature" theory developed in the 1950s at Johns Hopkins University. This model argued that gender identity was learned and that children could be "assigned" a sex through aggressive surgeries and hormonal treatments to make them look typically male or female.</w:t>
      </w:r>
      <w:r w:rsidR="004F0D37">
        <w:rPr>
          <w:rFonts w:ascii="Times New Roman" w:eastAsia="Times New Roman" w:hAnsi="Times New Roman" w:cs="Times New Roman"/>
          <w:sz w:val="24"/>
          <w:szCs w:val="24"/>
          <w:lang w:bidi="te-IN"/>
        </w:rPr>
        <w:t xml:space="preserve"> But all who gone through this inhumane process struggled all their lives with lost identity. </w:t>
      </w:r>
      <w:r w:rsidRPr="00B66CBA">
        <w:rPr>
          <w:rFonts w:ascii="Times New Roman" w:eastAsia="Times New Roman" w:hAnsi="Times New Roman" w:cs="Times New Roman"/>
          <w:sz w:val="24"/>
          <w:szCs w:val="24"/>
          <w:lang w:bidi="te-IN"/>
        </w:rPr>
        <w:t xml:space="preserve">This approach birthed a culture of profound secrecy. </w:t>
      </w:r>
    </w:p>
    <w:p w14:paraId="2A10DF0D" w14:textId="19B75631" w:rsidR="004F0D37" w:rsidRPr="00B66CBA" w:rsidRDefault="00C74FCD" w:rsidP="004F0D37">
      <w:pPr>
        <w:spacing w:before="100" w:beforeAutospacing="1" w:after="100" w:afterAutospacing="1" w:line="240" w:lineRule="auto"/>
        <w:rPr>
          <w:rFonts w:ascii="Times New Roman" w:eastAsia="Times New Roman" w:hAnsi="Times New Roman" w:cs="Times New Roman"/>
          <w:sz w:val="24"/>
          <w:szCs w:val="24"/>
          <w:lang w:bidi="te-IN"/>
        </w:rPr>
      </w:pPr>
      <w:r w:rsidRPr="00B66CBA">
        <w:rPr>
          <w:rFonts w:ascii="Times New Roman" w:eastAsia="Times New Roman" w:hAnsi="Times New Roman" w:cs="Times New Roman"/>
          <w:sz w:val="24"/>
          <w:szCs w:val="24"/>
          <w:lang w:bidi="te-IN"/>
        </w:rPr>
        <w:t>Parents were often told to move to new towns, change the child's name, and destroy all records of their birth condition to ensure they never discovered the truth. Children grew up undergoing dozens of surgeries they didn't understand, often being told they were simply "fixing a leak". The result was frequently a childhood defined by medical trauma, frequent hospitalizations, and a deep, unexplained sense of being a "freak".</w:t>
      </w:r>
      <w:r>
        <w:rPr>
          <w:rFonts w:ascii="Times New Roman" w:eastAsia="Times New Roman" w:hAnsi="Times New Roman" w:cs="Times New Roman"/>
          <w:sz w:val="24"/>
          <w:szCs w:val="24"/>
          <w:lang w:bidi="te-IN"/>
        </w:rPr>
        <w:t xml:space="preserve"> Now in India as the society grow and the medical facilities also becoming more and more advocate to kill the Nature’s symphony to agony. Why can’t we create an ecosystem, where we respect intersex people also part of the nature’s web? </w:t>
      </w:r>
      <w:r w:rsidR="004F0D37">
        <w:rPr>
          <w:rFonts w:ascii="Times New Roman" w:eastAsia="Times New Roman" w:hAnsi="Times New Roman" w:cs="Times New Roman"/>
          <w:sz w:val="24"/>
          <w:szCs w:val="24"/>
          <w:lang w:bidi="te-IN"/>
        </w:rPr>
        <w:t xml:space="preserve">What is stopping us from accepting every individual </w:t>
      </w:r>
      <w:r w:rsidR="004F0D37">
        <w:rPr>
          <w:rFonts w:ascii="Times New Roman" w:eastAsia="Times New Roman" w:hAnsi="Times New Roman" w:cs="Times New Roman"/>
          <w:sz w:val="24"/>
          <w:szCs w:val="24"/>
          <w:lang w:bidi="te-IN"/>
        </w:rPr>
        <w:t>identity</w:t>
      </w:r>
      <w:r w:rsidR="004F0D37">
        <w:rPr>
          <w:rFonts w:ascii="Times New Roman" w:eastAsia="Times New Roman" w:hAnsi="Times New Roman" w:cs="Times New Roman"/>
          <w:sz w:val="24"/>
          <w:szCs w:val="24"/>
          <w:lang w:bidi="te-IN"/>
        </w:rPr>
        <w:t xml:space="preserve">? </w:t>
      </w:r>
    </w:p>
    <w:p w14:paraId="5A8CABA6" w14:textId="6449B4A9" w:rsidR="00C74FCD" w:rsidRPr="00B66CBA" w:rsidRDefault="00C74FCD" w:rsidP="00C74FCD">
      <w:pPr>
        <w:spacing w:before="100" w:beforeAutospacing="1" w:after="100" w:afterAutospacing="1" w:line="240" w:lineRule="auto"/>
        <w:rPr>
          <w:rFonts w:ascii="Times New Roman" w:eastAsia="Times New Roman" w:hAnsi="Times New Roman" w:cs="Times New Roman"/>
          <w:sz w:val="24"/>
          <w:szCs w:val="24"/>
          <w:lang w:bidi="te-IN"/>
        </w:rPr>
      </w:pPr>
    </w:p>
    <w:p w14:paraId="64AAC962" w14:textId="77777777" w:rsidR="00C74FCD" w:rsidRPr="00B66CBA" w:rsidRDefault="00C74FCD" w:rsidP="00C74FCD">
      <w:pPr>
        <w:spacing w:before="100" w:beforeAutospacing="1" w:after="100" w:afterAutospacing="1" w:line="240" w:lineRule="auto"/>
        <w:rPr>
          <w:rFonts w:ascii="Times New Roman" w:eastAsia="Times New Roman" w:hAnsi="Times New Roman" w:cs="Times New Roman"/>
          <w:sz w:val="24"/>
          <w:szCs w:val="24"/>
          <w:lang w:bidi="te-IN"/>
        </w:rPr>
      </w:pPr>
    </w:p>
    <w:p w14:paraId="307ADC7E" w14:textId="40F599B6" w:rsidR="00C74FCD" w:rsidRDefault="00C74FCD" w:rsidP="00C74FCD">
      <w:pPr>
        <w:pStyle w:val="NormalWeb"/>
        <w:spacing w:after="150" w:afterAutospacing="0"/>
        <w:rPr>
          <w:color w:val="1F1F1F"/>
        </w:rPr>
      </w:pPr>
    </w:p>
    <w:p w14:paraId="1ACE07F3" w14:textId="77777777" w:rsidR="00406CC4" w:rsidRDefault="00406CC4"/>
    <w:sectPr w:rsidR="00406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altName w:val="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11678"/>
    <w:multiLevelType w:val="hybridMultilevel"/>
    <w:tmpl w:val="7A30E5D0"/>
    <w:lvl w:ilvl="0" w:tplc="5AFAAE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CD"/>
    <w:rsid w:val="00406CC4"/>
    <w:rsid w:val="004F0D37"/>
    <w:rsid w:val="00C74FCD"/>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D17BF"/>
  <w15:chartTrackingRefBased/>
  <w15:docId w15:val="{C32CC62F-8CE5-4C34-9B92-C621E2E9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4FCD"/>
    <w:pPr>
      <w:spacing w:before="100" w:beforeAutospacing="1" w:after="100" w:afterAutospacing="1" w:line="240" w:lineRule="auto"/>
    </w:pPr>
    <w:rPr>
      <w:rFonts w:ascii="Times New Roman" w:eastAsia="Times New Roman" w:hAnsi="Times New Roman" w:cs="Times New Roman"/>
      <w:sz w:val="24"/>
      <w:szCs w:val="24"/>
      <w:lang w:bidi="te-IN"/>
    </w:rPr>
  </w:style>
  <w:style w:type="paragraph" w:styleId="ListParagraph">
    <w:name w:val="List Paragraph"/>
    <w:basedOn w:val="Normal"/>
    <w:uiPriority w:val="34"/>
    <w:qFormat/>
    <w:rsid w:val="00C74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5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710</Words>
  <Characters>4049</Characters>
  <Application>Microsoft Office Word</Application>
  <DocSecurity>0</DocSecurity>
  <Lines>33</Lines>
  <Paragraphs>9</Paragraphs>
  <ScaleCrop>false</ScaleCrop>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 -ADVISOR -SS</dc:creator>
  <cp:keywords/>
  <dc:description/>
  <cp:lastModifiedBy>IE -ADVISOR -SS</cp:lastModifiedBy>
  <cp:revision>2</cp:revision>
  <dcterms:created xsi:type="dcterms:W3CDTF">2026-05-11T18:49:00Z</dcterms:created>
  <dcterms:modified xsi:type="dcterms:W3CDTF">2026-05-11T18:49:00Z</dcterms:modified>
</cp:coreProperties>
</file>